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89" w:rsidRDefault="00212D89" w:rsidP="00212D89">
      <w:pPr>
        <w:spacing w:before="120" w:after="120"/>
        <w:ind w:left="426"/>
        <w:jc w:val="center"/>
        <w:rPr>
          <w:rFonts w:eastAsiaTheme="majorEastAsia"/>
          <w:b/>
          <w:bCs/>
          <w:kern w:val="28"/>
        </w:rPr>
      </w:pPr>
      <w:r w:rsidRPr="00DE1E2B">
        <w:rPr>
          <w:rFonts w:eastAsiaTheme="majorEastAsia"/>
          <w:b/>
          <w:bCs/>
          <w:kern w:val="28"/>
        </w:rPr>
        <w:t>DANH MỤC CÁC ĐỀ TÀI  THUỘC CHƯƠNG TRÌNH HỢP TÁC SONG PHƯƠNG VIỆT BỈ</w:t>
      </w:r>
      <w:r w:rsidRPr="00DE1E2B">
        <w:rPr>
          <w:rFonts w:eastAsiaTheme="majorEastAsia"/>
          <w:b/>
          <w:bCs/>
          <w:kern w:val="28"/>
        </w:rPr>
        <w:br/>
      </w:r>
      <w:r>
        <w:rPr>
          <w:rFonts w:eastAsiaTheme="majorEastAsia"/>
          <w:b/>
          <w:bCs/>
          <w:kern w:val="28"/>
        </w:rPr>
        <w:t>DO</w:t>
      </w:r>
      <w:bookmarkStart w:id="0" w:name="_GoBack"/>
      <w:bookmarkEnd w:id="0"/>
      <w:r w:rsidRPr="00DE1E2B">
        <w:rPr>
          <w:rFonts w:eastAsiaTheme="majorEastAsia"/>
          <w:b/>
          <w:bCs/>
          <w:kern w:val="28"/>
        </w:rPr>
        <w:t xml:space="preserve"> QUỸ PHÁT TRIỂN KHOA HỌC VÀ CÔNG NGHỆ QUỐC GIA TÀI TRỢ KINH PHÍ THỰC HIỆN TỪ NĂM 2012</w:t>
      </w:r>
    </w:p>
    <w:tbl>
      <w:tblPr>
        <w:tblStyle w:val="TableGrid"/>
        <w:tblW w:w="15027" w:type="dxa"/>
        <w:tblInd w:w="-318" w:type="dxa"/>
        <w:tblLook w:val="04A0" w:firstRow="1" w:lastRow="0" w:firstColumn="1" w:lastColumn="0" w:noHBand="0" w:noVBand="1"/>
      </w:tblPr>
      <w:tblGrid>
        <w:gridCol w:w="707"/>
        <w:gridCol w:w="6665"/>
        <w:gridCol w:w="2410"/>
        <w:gridCol w:w="3828"/>
        <w:gridCol w:w="1417"/>
      </w:tblGrid>
      <w:tr w:rsidR="00212D89" w:rsidRPr="00AD1E04" w:rsidTr="00571B19">
        <w:trPr>
          <w:trHeight w:val="751"/>
        </w:trPr>
        <w:tc>
          <w:tcPr>
            <w:tcW w:w="707" w:type="dxa"/>
            <w:vAlign w:val="center"/>
          </w:tcPr>
          <w:p w:rsidR="00212D89" w:rsidRPr="004B2B86" w:rsidRDefault="00212D89" w:rsidP="00571B19">
            <w:pPr>
              <w:spacing w:before="40" w:after="40" w:line="276" w:lineRule="auto"/>
              <w:jc w:val="center"/>
              <w:rPr>
                <w:b/>
              </w:rPr>
            </w:pPr>
            <w:r w:rsidRPr="004B2B86">
              <w:rPr>
                <w:b/>
              </w:rPr>
              <w:t>TT</w:t>
            </w:r>
          </w:p>
        </w:tc>
        <w:tc>
          <w:tcPr>
            <w:tcW w:w="6665" w:type="dxa"/>
            <w:vAlign w:val="center"/>
          </w:tcPr>
          <w:p w:rsidR="00212D89" w:rsidRPr="004B2B86" w:rsidRDefault="00212D89" w:rsidP="00571B19">
            <w:pPr>
              <w:spacing w:before="40" w:after="40"/>
              <w:jc w:val="center"/>
              <w:rPr>
                <w:b/>
              </w:rPr>
            </w:pPr>
            <w:r w:rsidRPr="004B2B86">
              <w:rPr>
                <w:b/>
              </w:rPr>
              <w:t>Tên đề tài</w:t>
            </w:r>
          </w:p>
        </w:tc>
        <w:tc>
          <w:tcPr>
            <w:tcW w:w="2410" w:type="dxa"/>
            <w:vAlign w:val="center"/>
          </w:tcPr>
          <w:p w:rsidR="00212D89" w:rsidRPr="004B2B86" w:rsidRDefault="00212D89" w:rsidP="00571B19">
            <w:pPr>
              <w:spacing w:before="40" w:after="40" w:line="276" w:lineRule="auto"/>
              <w:jc w:val="center"/>
              <w:rPr>
                <w:b/>
              </w:rPr>
            </w:pPr>
            <w:r w:rsidRPr="004B2B86">
              <w:rPr>
                <w:b/>
              </w:rPr>
              <w:t>Chủ nhiệm đề tài</w:t>
            </w:r>
          </w:p>
        </w:tc>
        <w:tc>
          <w:tcPr>
            <w:tcW w:w="3828" w:type="dxa"/>
            <w:vAlign w:val="center"/>
          </w:tcPr>
          <w:p w:rsidR="00212D89" w:rsidRPr="004B2B86" w:rsidRDefault="00212D89" w:rsidP="00571B19">
            <w:pPr>
              <w:spacing w:before="40" w:after="40" w:line="276" w:lineRule="auto"/>
              <w:jc w:val="center"/>
              <w:rPr>
                <w:b/>
              </w:rPr>
            </w:pPr>
            <w:r w:rsidRPr="004B2B86">
              <w:rPr>
                <w:b/>
              </w:rPr>
              <w:t>Tổ chức chủ trì</w:t>
            </w:r>
          </w:p>
        </w:tc>
        <w:tc>
          <w:tcPr>
            <w:tcW w:w="1417" w:type="dxa"/>
            <w:vAlign w:val="center"/>
          </w:tcPr>
          <w:p w:rsidR="00212D89" w:rsidRPr="004B2B86" w:rsidRDefault="00212D89" w:rsidP="00571B19">
            <w:pPr>
              <w:spacing w:before="40" w:after="40" w:line="276" w:lineRule="auto"/>
              <w:jc w:val="center"/>
              <w:rPr>
                <w:b/>
              </w:rPr>
            </w:pPr>
            <w:r w:rsidRPr="004B2B86">
              <w:rPr>
                <w:b/>
              </w:rPr>
              <w:t>Thời gian thực hiện</w:t>
            </w:r>
          </w:p>
        </w:tc>
      </w:tr>
      <w:tr w:rsidR="00212D89" w:rsidRPr="004B2B86" w:rsidTr="00571B19">
        <w:trPr>
          <w:trHeight w:val="660"/>
        </w:trPr>
        <w:tc>
          <w:tcPr>
            <w:tcW w:w="707" w:type="dxa"/>
            <w:vMerge w:val="restart"/>
            <w:vAlign w:val="center"/>
          </w:tcPr>
          <w:p w:rsidR="00212D89" w:rsidRPr="004B2B86" w:rsidRDefault="00212D89" w:rsidP="00571B19">
            <w:pPr>
              <w:spacing w:before="80" w:after="80" w:line="276" w:lineRule="auto"/>
              <w:jc w:val="center"/>
            </w:pPr>
            <w:r w:rsidRPr="004B2B86">
              <w:t>1</w:t>
            </w:r>
          </w:p>
        </w:tc>
        <w:tc>
          <w:tcPr>
            <w:tcW w:w="6665" w:type="dxa"/>
            <w:vAlign w:val="center"/>
          </w:tcPr>
          <w:p w:rsidR="00212D89" w:rsidRPr="004B2B86" w:rsidRDefault="00212D89" w:rsidP="00571B19">
            <w:pPr>
              <w:spacing w:before="80" w:after="80" w:line="276" w:lineRule="auto"/>
            </w:pPr>
            <w:r w:rsidRPr="004B2B86">
              <w:t>Điều khiển chiết suất âm của siêu vật liệu</w:t>
            </w:r>
          </w:p>
        </w:tc>
        <w:tc>
          <w:tcPr>
            <w:tcW w:w="2410" w:type="dxa"/>
            <w:vAlign w:val="center"/>
          </w:tcPr>
          <w:p w:rsidR="00212D89" w:rsidRPr="004B2B86" w:rsidRDefault="00212D89" w:rsidP="00571B19">
            <w:pPr>
              <w:spacing w:before="80" w:after="80" w:line="276" w:lineRule="auto"/>
            </w:pPr>
            <w:r>
              <w:t xml:space="preserve">TS. </w:t>
            </w:r>
            <w:r w:rsidRPr="004B2B86">
              <w:t>Vũ Đình Lãm</w:t>
            </w:r>
          </w:p>
        </w:tc>
        <w:tc>
          <w:tcPr>
            <w:tcW w:w="3828" w:type="dxa"/>
            <w:vAlign w:val="center"/>
          </w:tcPr>
          <w:p w:rsidR="00212D89" w:rsidRPr="004B2B86" w:rsidRDefault="00212D89" w:rsidP="00571B19">
            <w:pPr>
              <w:spacing w:before="80" w:after="80" w:line="276" w:lineRule="auto"/>
            </w:pPr>
            <w:r w:rsidRPr="004B2B86">
              <w:t>Viện Khoa học Vật liệu, Viện Khoa học và Công nghệ Việt Nam</w:t>
            </w:r>
          </w:p>
        </w:tc>
        <w:tc>
          <w:tcPr>
            <w:tcW w:w="1417" w:type="dxa"/>
            <w:vMerge w:val="restart"/>
            <w:vAlign w:val="center"/>
          </w:tcPr>
          <w:p w:rsidR="00212D89" w:rsidRPr="004B2B86" w:rsidRDefault="00212D89" w:rsidP="00571B19">
            <w:pPr>
              <w:spacing w:before="80" w:after="80" w:line="276" w:lineRule="auto"/>
              <w:jc w:val="center"/>
            </w:pPr>
            <w:r w:rsidRPr="004B2B86">
              <w:t>24 tháng</w:t>
            </w:r>
          </w:p>
        </w:tc>
      </w:tr>
      <w:tr w:rsidR="00212D89" w:rsidRPr="004B2B86" w:rsidTr="00571B19">
        <w:trPr>
          <w:trHeight w:val="463"/>
        </w:trPr>
        <w:tc>
          <w:tcPr>
            <w:tcW w:w="707" w:type="dxa"/>
            <w:vMerge/>
            <w:vAlign w:val="center"/>
          </w:tcPr>
          <w:p w:rsidR="00212D89" w:rsidRPr="004B2B86" w:rsidRDefault="00212D89" w:rsidP="00571B19">
            <w:pPr>
              <w:spacing w:before="80" w:after="80" w:line="276" w:lineRule="auto"/>
              <w:jc w:val="center"/>
            </w:pPr>
          </w:p>
        </w:tc>
        <w:tc>
          <w:tcPr>
            <w:tcW w:w="6665" w:type="dxa"/>
            <w:vAlign w:val="center"/>
          </w:tcPr>
          <w:p w:rsidR="00212D89" w:rsidRPr="004B2B86" w:rsidRDefault="00212D89" w:rsidP="00571B19">
            <w:pPr>
              <w:spacing w:before="80" w:after="80" w:line="276" w:lineRule="auto"/>
            </w:pPr>
            <w:r w:rsidRPr="004B2B86">
              <w:t>Taming metamaterials</w:t>
            </w:r>
          </w:p>
        </w:tc>
        <w:tc>
          <w:tcPr>
            <w:tcW w:w="2410" w:type="dxa"/>
            <w:vAlign w:val="center"/>
          </w:tcPr>
          <w:p w:rsidR="00212D89" w:rsidRPr="004B2B86" w:rsidRDefault="00212D89" w:rsidP="00571B19">
            <w:pPr>
              <w:spacing w:before="80" w:after="80" w:line="276" w:lineRule="auto"/>
            </w:pPr>
            <w:r w:rsidRPr="004B2B86">
              <w:t>Peter Lievens</w:t>
            </w:r>
          </w:p>
        </w:tc>
        <w:tc>
          <w:tcPr>
            <w:tcW w:w="3828" w:type="dxa"/>
            <w:vAlign w:val="center"/>
          </w:tcPr>
          <w:p w:rsidR="00212D89" w:rsidRPr="004B2B86" w:rsidRDefault="00212D89" w:rsidP="00571B19">
            <w:pPr>
              <w:spacing w:before="80" w:after="80" w:line="276" w:lineRule="auto"/>
            </w:pPr>
            <w:r w:rsidRPr="00DC5DB5">
              <w:t>Katholieke Universiteit Leuven (K.U. Leuven)</w:t>
            </w:r>
          </w:p>
        </w:tc>
        <w:tc>
          <w:tcPr>
            <w:tcW w:w="1417" w:type="dxa"/>
            <w:vMerge/>
            <w:vAlign w:val="center"/>
          </w:tcPr>
          <w:p w:rsidR="00212D89" w:rsidRPr="004B2B86" w:rsidRDefault="00212D89" w:rsidP="00571B19">
            <w:pPr>
              <w:spacing w:before="80" w:after="80" w:line="276" w:lineRule="auto"/>
              <w:jc w:val="center"/>
            </w:pPr>
          </w:p>
        </w:tc>
      </w:tr>
      <w:tr w:rsidR="00212D89" w:rsidRPr="004B2B86" w:rsidTr="00571B19">
        <w:trPr>
          <w:trHeight w:val="872"/>
        </w:trPr>
        <w:tc>
          <w:tcPr>
            <w:tcW w:w="707" w:type="dxa"/>
            <w:vMerge w:val="restart"/>
            <w:vAlign w:val="center"/>
          </w:tcPr>
          <w:p w:rsidR="00212D89" w:rsidRPr="004B2B86" w:rsidRDefault="00212D89" w:rsidP="00571B19">
            <w:pPr>
              <w:spacing w:before="80" w:after="80" w:line="276" w:lineRule="auto"/>
              <w:jc w:val="center"/>
            </w:pPr>
            <w:r w:rsidRPr="004B2B86">
              <w:t>2</w:t>
            </w:r>
          </w:p>
        </w:tc>
        <w:tc>
          <w:tcPr>
            <w:tcW w:w="6665" w:type="dxa"/>
            <w:vAlign w:val="center"/>
          </w:tcPr>
          <w:p w:rsidR="00212D89" w:rsidRPr="004B2B86" w:rsidRDefault="00212D89" w:rsidP="00571B19">
            <w:pPr>
              <w:spacing w:before="80" w:after="80" w:line="276" w:lineRule="auto"/>
            </w:pPr>
            <w:r w:rsidRPr="004B2B86">
              <w:t>Giảm thiểu tỉ lệ bệnh ho gà trên trẻ em tại các nước có đặc điểm dịch tễ học khác nhau bằng tăng nồng độ kháng thể của bà mẹ trong quá trình mang thai</w:t>
            </w:r>
          </w:p>
        </w:tc>
        <w:tc>
          <w:tcPr>
            <w:tcW w:w="2410" w:type="dxa"/>
            <w:vAlign w:val="center"/>
          </w:tcPr>
          <w:p w:rsidR="00212D89" w:rsidRPr="004B2B86" w:rsidRDefault="00212D89" w:rsidP="00571B19">
            <w:pPr>
              <w:spacing w:before="80" w:after="80" w:line="276" w:lineRule="auto"/>
            </w:pPr>
            <w:r>
              <w:t xml:space="preserve">PGS.TS. </w:t>
            </w:r>
            <w:r w:rsidRPr="004B2B86">
              <w:t>Đặng Đức Anh</w:t>
            </w:r>
          </w:p>
        </w:tc>
        <w:tc>
          <w:tcPr>
            <w:tcW w:w="3828" w:type="dxa"/>
            <w:vAlign w:val="center"/>
          </w:tcPr>
          <w:p w:rsidR="00212D89" w:rsidRPr="004B2B86" w:rsidRDefault="00212D89" w:rsidP="00571B19">
            <w:pPr>
              <w:spacing w:before="80" w:after="80" w:line="276" w:lineRule="auto"/>
            </w:pPr>
            <w:r w:rsidRPr="004B2B86">
              <w:t xml:space="preserve">Viện Vệ sinh Dịch tễ </w:t>
            </w:r>
            <w:r>
              <w:br/>
            </w:r>
            <w:r w:rsidRPr="004B2B86">
              <w:t>Trung ương</w:t>
            </w:r>
          </w:p>
        </w:tc>
        <w:tc>
          <w:tcPr>
            <w:tcW w:w="1417" w:type="dxa"/>
            <w:vMerge w:val="restart"/>
            <w:vAlign w:val="center"/>
          </w:tcPr>
          <w:p w:rsidR="00212D89" w:rsidRPr="004B2B86" w:rsidRDefault="00212D89" w:rsidP="00571B19">
            <w:pPr>
              <w:spacing w:before="80" w:after="80" w:line="276" w:lineRule="auto"/>
              <w:jc w:val="center"/>
            </w:pPr>
            <w:r w:rsidRPr="004B2B86">
              <w:t>24 tháng</w:t>
            </w:r>
          </w:p>
        </w:tc>
      </w:tr>
      <w:tr w:rsidR="00212D89" w:rsidRPr="004B2B86" w:rsidTr="00571B19">
        <w:trPr>
          <w:trHeight w:val="839"/>
        </w:trPr>
        <w:tc>
          <w:tcPr>
            <w:tcW w:w="707" w:type="dxa"/>
            <w:vMerge/>
            <w:vAlign w:val="center"/>
          </w:tcPr>
          <w:p w:rsidR="00212D89" w:rsidRPr="004B2B86" w:rsidRDefault="00212D89" w:rsidP="00571B19">
            <w:pPr>
              <w:spacing w:before="80" w:after="80" w:line="276" w:lineRule="auto"/>
              <w:jc w:val="center"/>
            </w:pPr>
          </w:p>
        </w:tc>
        <w:tc>
          <w:tcPr>
            <w:tcW w:w="6665" w:type="dxa"/>
            <w:vAlign w:val="center"/>
          </w:tcPr>
          <w:p w:rsidR="00212D89" w:rsidRPr="004B2B86" w:rsidRDefault="00212D89" w:rsidP="00571B19">
            <w:pPr>
              <w:spacing w:before="80" w:after="80" w:line="276" w:lineRule="auto"/>
            </w:pPr>
            <w:r w:rsidRPr="004B2B86">
              <w:t>Reducing the burden of Pertussis disease in very young infants in different epidemiological setting by augmenting maternal antibody concentrations during pregnancy</w:t>
            </w:r>
          </w:p>
        </w:tc>
        <w:tc>
          <w:tcPr>
            <w:tcW w:w="2410" w:type="dxa"/>
            <w:vAlign w:val="center"/>
          </w:tcPr>
          <w:p w:rsidR="00212D89" w:rsidRPr="004B2B86" w:rsidRDefault="00212D89" w:rsidP="00571B19">
            <w:pPr>
              <w:spacing w:before="80" w:after="80" w:line="276" w:lineRule="auto"/>
              <w:rPr>
                <w:color w:val="000000"/>
              </w:rPr>
            </w:pPr>
            <w:r w:rsidRPr="004B2B86">
              <w:rPr>
                <w:color w:val="000000"/>
              </w:rPr>
              <w:t>Pierre Van Dammme</w:t>
            </w:r>
          </w:p>
        </w:tc>
        <w:tc>
          <w:tcPr>
            <w:tcW w:w="3828" w:type="dxa"/>
            <w:vAlign w:val="center"/>
          </w:tcPr>
          <w:p w:rsidR="00212D89" w:rsidRPr="004B2B86" w:rsidRDefault="00212D89" w:rsidP="00571B19">
            <w:pPr>
              <w:spacing w:before="80" w:after="80" w:line="276" w:lineRule="auto"/>
              <w:rPr>
                <w:color w:val="000000"/>
              </w:rPr>
            </w:pPr>
            <w:r w:rsidRPr="00DC5DB5">
              <w:rPr>
                <w:color w:val="000000"/>
              </w:rPr>
              <w:t>Vrije Universiteit Brussel</w:t>
            </w:r>
          </w:p>
        </w:tc>
        <w:tc>
          <w:tcPr>
            <w:tcW w:w="1417" w:type="dxa"/>
            <w:vMerge/>
            <w:vAlign w:val="center"/>
          </w:tcPr>
          <w:p w:rsidR="00212D89" w:rsidRPr="004B2B86" w:rsidRDefault="00212D89" w:rsidP="00571B19">
            <w:pPr>
              <w:spacing w:before="80" w:after="80" w:line="276" w:lineRule="auto"/>
              <w:jc w:val="center"/>
            </w:pPr>
          </w:p>
        </w:tc>
      </w:tr>
      <w:tr w:rsidR="00212D89" w:rsidRPr="004B2B86" w:rsidTr="00571B19">
        <w:trPr>
          <w:trHeight w:val="998"/>
        </w:trPr>
        <w:tc>
          <w:tcPr>
            <w:tcW w:w="707" w:type="dxa"/>
            <w:vMerge w:val="restart"/>
            <w:vAlign w:val="center"/>
          </w:tcPr>
          <w:p w:rsidR="00212D89" w:rsidRPr="004B2B86" w:rsidRDefault="00212D89" w:rsidP="00571B19">
            <w:pPr>
              <w:spacing w:before="80" w:after="80" w:line="276" w:lineRule="auto"/>
              <w:jc w:val="center"/>
            </w:pPr>
            <w:r w:rsidRPr="004B2B86">
              <w:t>3</w:t>
            </w:r>
          </w:p>
        </w:tc>
        <w:tc>
          <w:tcPr>
            <w:tcW w:w="6665" w:type="dxa"/>
            <w:vAlign w:val="center"/>
          </w:tcPr>
          <w:p w:rsidR="00212D89" w:rsidRPr="004B2B86" w:rsidRDefault="00212D89" w:rsidP="00571B19">
            <w:pPr>
              <w:spacing w:before="80" w:after="80" w:line="276" w:lineRule="auto"/>
            </w:pPr>
            <w:r w:rsidRPr="004B2B86">
              <w:t>Kết hợp các tiêu chuẩn hình thái và sinh học phân tử để nghiên cứu đa dạng Tuyến trùng ở rừng ngập mặn Cần Giờ, Việt Nam</w:t>
            </w:r>
          </w:p>
        </w:tc>
        <w:tc>
          <w:tcPr>
            <w:tcW w:w="2410" w:type="dxa"/>
            <w:vAlign w:val="center"/>
          </w:tcPr>
          <w:p w:rsidR="00212D89" w:rsidRPr="004B2B86" w:rsidRDefault="00212D89" w:rsidP="00571B19">
            <w:pPr>
              <w:spacing w:before="80" w:after="80" w:line="276" w:lineRule="auto"/>
            </w:pPr>
            <w:r>
              <w:t xml:space="preserve">TS. </w:t>
            </w:r>
            <w:r w:rsidRPr="004B2B86">
              <w:t>Nguyễn Đình Tứ</w:t>
            </w:r>
          </w:p>
        </w:tc>
        <w:tc>
          <w:tcPr>
            <w:tcW w:w="3828" w:type="dxa"/>
            <w:vAlign w:val="center"/>
          </w:tcPr>
          <w:p w:rsidR="00212D89" w:rsidRPr="004B2B86" w:rsidRDefault="00212D89" w:rsidP="00571B19">
            <w:pPr>
              <w:spacing w:before="80" w:after="80" w:line="276" w:lineRule="auto"/>
            </w:pPr>
            <w:r>
              <w:t xml:space="preserve">Viện Sinh thái và Tài nguyên Sinh vật, </w:t>
            </w:r>
            <w:r w:rsidRPr="004B2B86">
              <w:t>Viện Khoa học và Công nghệ Việt Nam</w:t>
            </w:r>
          </w:p>
        </w:tc>
        <w:tc>
          <w:tcPr>
            <w:tcW w:w="1417" w:type="dxa"/>
            <w:vAlign w:val="center"/>
          </w:tcPr>
          <w:p w:rsidR="00212D89" w:rsidRPr="004B2B86" w:rsidRDefault="00212D89" w:rsidP="00571B19">
            <w:pPr>
              <w:spacing w:before="80" w:after="80" w:line="276" w:lineRule="auto"/>
              <w:jc w:val="center"/>
            </w:pPr>
            <w:r w:rsidRPr="004B2B86">
              <w:t>24 tháng</w:t>
            </w:r>
          </w:p>
        </w:tc>
      </w:tr>
      <w:tr w:rsidR="00212D89" w:rsidRPr="004B2B86" w:rsidTr="00571B19">
        <w:tc>
          <w:tcPr>
            <w:tcW w:w="707" w:type="dxa"/>
            <w:vMerge/>
            <w:vAlign w:val="center"/>
          </w:tcPr>
          <w:p w:rsidR="00212D89" w:rsidRPr="004B2B86" w:rsidRDefault="00212D89" w:rsidP="00571B19">
            <w:pPr>
              <w:spacing w:before="80" w:after="80" w:line="276" w:lineRule="auto"/>
              <w:jc w:val="center"/>
            </w:pPr>
          </w:p>
        </w:tc>
        <w:tc>
          <w:tcPr>
            <w:tcW w:w="6665" w:type="dxa"/>
            <w:vAlign w:val="center"/>
          </w:tcPr>
          <w:p w:rsidR="00212D89" w:rsidRPr="004B2B86" w:rsidRDefault="00212D89" w:rsidP="00571B19">
            <w:pPr>
              <w:spacing w:before="80" w:after="80" w:line="276" w:lineRule="auto"/>
            </w:pPr>
            <w:r w:rsidRPr="004B2B86">
              <w:t>Integrating morphological and molecular based measures for nematode biodiversity research in the Can Gio mangrove forest (South Viet Nam)</w:t>
            </w:r>
          </w:p>
        </w:tc>
        <w:tc>
          <w:tcPr>
            <w:tcW w:w="2410" w:type="dxa"/>
            <w:vAlign w:val="center"/>
          </w:tcPr>
          <w:p w:rsidR="00212D89" w:rsidRPr="004B2B86" w:rsidRDefault="00212D89" w:rsidP="00571B19">
            <w:pPr>
              <w:spacing w:before="80" w:after="80" w:line="276" w:lineRule="auto"/>
            </w:pPr>
            <w:r>
              <w:rPr>
                <w:lang w:val="fr-FR"/>
              </w:rPr>
              <w:t xml:space="preserve">GS.TS. </w:t>
            </w:r>
            <w:r w:rsidRPr="004B2B86">
              <w:rPr>
                <w:lang w:val="fr-FR"/>
              </w:rPr>
              <w:t>ANN VANREUSEL</w:t>
            </w:r>
          </w:p>
        </w:tc>
        <w:tc>
          <w:tcPr>
            <w:tcW w:w="3828" w:type="dxa"/>
            <w:vAlign w:val="center"/>
          </w:tcPr>
          <w:p w:rsidR="00212D89" w:rsidRPr="004B2B86" w:rsidRDefault="00212D89" w:rsidP="00571B19">
            <w:pPr>
              <w:spacing w:before="80" w:after="80" w:line="276" w:lineRule="auto"/>
            </w:pPr>
            <w:r w:rsidRPr="004B2B86">
              <w:t>G</w:t>
            </w:r>
            <w:r>
              <w:t>h</w:t>
            </w:r>
            <w:r w:rsidRPr="004B2B86">
              <w:t>ent</w:t>
            </w:r>
            <w:r>
              <w:t xml:space="preserve"> University</w:t>
            </w:r>
          </w:p>
        </w:tc>
        <w:tc>
          <w:tcPr>
            <w:tcW w:w="1417" w:type="dxa"/>
            <w:vAlign w:val="center"/>
          </w:tcPr>
          <w:p w:rsidR="00212D89" w:rsidRPr="004B2B86" w:rsidRDefault="00212D89" w:rsidP="00571B19">
            <w:pPr>
              <w:spacing w:before="80" w:after="80" w:line="276" w:lineRule="auto"/>
              <w:jc w:val="center"/>
            </w:pPr>
          </w:p>
        </w:tc>
      </w:tr>
    </w:tbl>
    <w:p w:rsidR="00212D89" w:rsidRDefault="00212D89" w:rsidP="00212D89">
      <w:r>
        <w:br w:type="page"/>
      </w:r>
    </w:p>
    <w:tbl>
      <w:tblPr>
        <w:tblStyle w:val="TableGrid"/>
        <w:tblW w:w="15027" w:type="dxa"/>
        <w:tblInd w:w="-318" w:type="dxa"/>
        <w:tblLook w:val="04A0" w:firstRow="1" w:lastRow="0" w:firstColumn="1" w:lastColumn="0" w:noHBand="0" w:noVBand="1"/>
      </w:tblPr>
      <w:tblGrid>
        <w:gridCol w:w="707"/>
        <w:gridCol w:w="6665"/>
        <w:gridCol w:w="2410"/>
        <w:gridCol w:w="3828"/>
        <w:gridCol w:w="1417"/>
      </w:tblGrid>
      <w:tr w:rsidR="00212D89" w:rsidRPr="004B2B86" w:rsidTr="00571B19">
        <w:trPr>
          <w:trHeight w:val="610"/>
        </w:trPr>
        <w:tc>
          <w:tcPr>
            <w:tcW w:w="707" w:type="dxa"/>
            <w:vMerge w:val="restart"/>
            <w:vAlign w:val="center"/>
          </w:tcPr>
          <w:p w:rsidR="00212D89" w:rsidRPr="00A21C58" w:rsidRDefault="00212D89" w:rsidP="00571B19">
            <w:pPr>
              <w:spacing w:before="80" w:after="80" w:line="276" w:lineRule="auto"/>
              <w:jc w:val="center"/>
            </w:pPr>
            <w:r w:rsidRPr="00A21C58">
              <w:rPr>
                <w:b/>
              </w:rPr>
              <w:lastRenderedPageBreak/>
              <w:br w:type="page"/>
            </w:r>
            <w:r w:rsidRPr="00A21C58">
              <w:t>4</w:t>
            </w:r>
          </w:p>
        </w:tc>
        <w:tc>
          <w:tcPr>
            <w:tcW w:w="6665" w:type="dxa"/>
            <w:vAlign w:val="center"/>
          </w:tcPr>
          <w:p w:rsidR="00212D89" w:rsidRPr="004B2B86" w:rsidRDefault="00212D89" w:rsidP="00571B19">
            <w:pPr>
              <w:spacing w:before="80" w:after="80" w:line="276" w:lineRule="auto"/>
            </w:pPr>
            <w:r w:rsidRPr="004B2B86">
              <w:t>Nghiên cứu cơ chế nội sinh với rễ lúa của vi khuẩn cố định đạm Pseudomonas stutzeri.</w:t>
            </w:r>
          </w:p>
        </w:tc>
        <w:tc>
          <w:tcPr>
            <w:tcW w:w="2410" w:type="dxa"/>
            <w:vAlign w:val="center"/>
          </w:tcPr>
          <w:p w:rsidR="00212D89" w:rsidRPr="004B2B86" w:rsidRDefault="00212D89" w:rsidP="00571B19">
            <w:pPr>
              <w:spacing w:before="80" w:after="80" w:line="276" w:lineRule="auto"/>
            </w:pPr>
            <w:r>
              <w:t xml:space="preserve">PGS.TS. </w:t>
            </w:r>
            <w:r w:rsidRPr="004B2B86">
              <w:t>Nguyễn Hữu Hiệp</w:t>
            </w:r>
          </w:p>
        </w:tc>
        <w:tc>
          <w:tcPr>
            <w:tcW w:w="3828" w:type="dxa"/>
            <w:vAlign w:val="center"/>
          </w:tcPr>
          <w:p w:rsidR="00212D89" w:rsidRPr="004B2B86" w:rsidRDefault="00212D89" w:rsidP="00571B19">
            <w:pPr>
              <w:spacing w:before="80" w:after="80" w:line="276" w:lineRule="auto"/>
            </w:pPr>
            <w:r w:rsidRPr="004B2B86">
              <w:t>Trường Đại học Cần Thơ</w:t>
            </w:r>
          </w:p>
        </w:tc>
        <w:tc>
          <w:tcPr>
            <w:tcW w:w="1417" w:type="dxa"/>
            <w:vMerge w:val="restart"/>
            <w:vAlign w:val="center"/>
          </w:tcPr>
          <w:p w:rsidR="00212D89" w:rsidRPr="004B2B86" w:rsidRDefault="00212D89" w:rsidP="00571B19">
            <w:pPr>
              <w:spacing w:before="80" w:after="80" w:line="276" w:lineRule="auto"/>
              <w:jc w:val="center"/>
            </w:pPr>
            <w:r w:rsidRPr="004B2B86">
              <w:t>24 tháng</w:t>
            </w:r>
          </w:p>
        </w:tc>
      </w:tr>
      <w:tr w:rsidR="00212D89" w:rsidRPr="004B2B86" w:rsidTr="00571B19">
        <w:trPr>
          <w:trHeight w:val="441"/>
        </w:trPr>
        <w:tc>
          <w:tcPr>
            <w:tcW w:w="707" w:type="dxa"/>
            <w:vMerge/>
            <w:vAlign w:val="center"/>
          </w:tcPr>
          <w:p w:rsidR="00212D89" w:rsidRPr="004B2B86" w:rsidRDefault="00212D89" w:rsidP="00571B19">
            <w:pPr>
              <w:spacing w:before="80" w:after="80" w:line="276" w:lineRule="auto"/>
              <w:jc w:val="center"/>
              <w:rPr>
                <w:b/>
              </w:rPr>
            </w:pPr>
          </w:p>
        </w:tc>
        <w:tc>
          <w:tcPr>
            <w:tcW w:w="6665" w:type="dxa"/>
            <w:vAlign w:val="center"/>
          </w:tcPr>
          <w:p w:rsidR="00212D89" w:rsidRPr="004B2B86" w:rsidRDefault="00212D89" w:rsidP="00571B19">
            <w:pPr>
              <w:spacing w:before="80" w:after="80" w:line="276" w:lineRule="auto"/>
              <w:rPr>
                <w:b/>
              </w:rPr>
            </w:pPr>
            <w:r w:rsidRPr="004B2B86">
              <w:t>Study of the mechanism of the association between nitrogen fixing Pseu</w:t>
            </w:r>
            <w:r>
              <w:t>domonas stutzeri and rice roots</w:t>
            </w:r>
          </w:p>
        </w:tc>
        <w:tc>
          <w:tcPr>
            <w:tcW w:w="2410" w:type="dxa"/>
            <w:vAlign w:val="center"/>
          </w:tcPr>
          <w:p w:rsidR="00212D89" w:rsidRPr="004B2B86" w:rsidRDefault="00212D89" w:rsidP="00571B19">
            <w:pPr>
              <w:spacing w:before="80" w:after="80" w:line="276" w:lineRule="auto"/>
            </w:pPr>
            <w:r>
              <w:t xml:space="preserve">GS.TS. </w:t>
            </w:r>
            <w:r w:rsidRPr="004B2B86">
              <w:t>Jos Vanderleyden</w:t>
            </w:r>
          </w:p>
        </w:tc>
        <w:tc>
          <w:tcPr>
            <w:tcW w:w="3828" w:type="dxa"/>
            <w:vAlign w:val="center"/>
          </w:tcPr>
          <w:p w:rsidR="00212D89" w:rsidRPr="004B2B86" w:rsidRDefault="00212D89" w:rsidP="00571B19">
            <w:pPr>
              <w:spacing w:before="80" w:after="80" w:line="276" w:lineRule="auto"/>
            </w:pPr>
            <w:r w:rsidRPr="00DC5DB5">
              <w:t>Katholieke Universiteit Leuven (K.U. Leuven)</w:t>
            </w:r>
          </w:p>
        </w:tc>
        <w:tc>
          <w:tcPr>
            <w:tcW w:w="1417" w:type="dxa"/>
            <w:vMerge/>
            <w:vAlign w:val="center"/>
          </w:tcPr>
          <w:p w:rsidR="00212D89" w:rsidRPr="004B2B86" w:rsidRDefault="00212D89" w:rsidP="00571B19">
            <w:pPr>
              <w:spacing w:before="80" w:after="80" w:line="276" w:lineRule="auto"/>
              <w:jc w:val="center"/>
              <w:rPr>
                <w:b/>
              </w:rPr>
            </w:pPr>
          </w:p>
        </w:tc>
      </w:tr>
      <w:tr w:rsidR="00212D89" w:rsidRPr="004B2B86" w:rsidTr="00571B19">
        <w:trPr>
          <w:trHeight w:val="722"/>
        </w:trPr>
        <w:tc>
          <w:tcPr>
            <w:tcW w:w="707" w:type="dxa"/>
            <w:vMerge w:val="restart"/>
            <w:vAlign w:val="center"/>
          </w:tcPr>
          <w:p w:rsidR="00212D89" w:rsidRPr="004B2B86" w:rsidRDefault="00212D89" w:rsidP="00571B19">
            <w:pPr>
              <w:spacing w:before="80" w:after="80" w:line="276" w:lineRule="auto"/>
              <w:jc w:val="center"/>
            </w:pPr>
            <w:r w:rsidRPr="004B2B86">
              <w:t>5</w:t>
            </w:r>
          </w:p>
        </w:tc>
        <w:tc>
          <w:tcPr>
            <w:tcW w:w="6665" w:type="dxa"/>
            <w:vAlign w:val="center"/>
          </w:tcPr>
          <w:p w:rsidR="00212D89" w:rsidRPr="004B2B86" w:rsidRDefault="00212D89" w:rsidP="00571B19">
            <w:pPr>
              <w:spacing w:before="80" w:after="80" w:line="276" w:lineRule="auto"/>
            </w:pPr>
            <w:r w:rsidRPr="004B2B86">
              <w:t>Nghiên cứu động thái dinh dưỡng trong ruộng muối sản xuất Artemia ở vùng ven biển Đồng bằng Sông Cửu Long</w:t>
            </w:r>
          </w:p>
        </w:tc>
        <w:tc>
          <w:tcPr>
            <w:tcW w:w="2410" w:type="dxa"/>
            <w:vAlign w:val="center"/>
          </w:tcPr>
          <w:p w:rsidR="00212D89" w:rsidRPr="004B2B86" w:rsidRDefault="00212D89" w:rsidP="00571B19">
            <w:pPr>
              <w:spacing w:before="80" w:after="80" w:line="276" w:lineRule="auto"/>
            </w:pPr>
            <w:r>
              <w:t xml:space="preserve">TS. </w:t>
            </w:r>
            <w:r w:rsidRPr="004B2B86">
              <w:t>Châu Minh Khôi</w:t>
            </w:r>
          </w:p>
        </w:tc>
        <w:tc>
          <w:tcPr>
            <w:tcW w:w="3828" w:type="dxa"/>
            <w:vAlign w:val="center"/>
          </w:tcPr>
          <w:p w:rsidR="00212D89" w:rsidRPr="004B2B86" w:rsidRDefault="00212D89" w:rsidP="00571B19">
            <w:pPr>
              <w:spacing w:before="80" w:after="80" w:line="276" w:lineRule="auto"/>
            </w:pPr>
            <w:r w:rsidRPr="004B2B86">
              <w:t>Trường Đại học Cần Thơ</w:t>
            </w:r>
          </w:p>
        </w:tc>
        <w:tc>
          <w:tcPr>
            <w:tcW w:w="1417" w:type="dxa"/>
            <w:vMerge w:val="restart"/>
            <w:vAlign w:val="center"/>
          </w:tcPr>
          <w:p w:rsidR="00212D89" w:rsidRPr="004B2B86" w:rsidRDefault="00212D89" w:rsidP="00571B19">
            <w:pPr>
              <w:spacing w:before="80" w:after="80" w:line="276" w:lineRule="auto"/>
              <w:jc w:val="center"/>
            </w:pPr>
            <w:r w:rsidRPr="004B2B86">
              <w:t>24 tháng</w:t>
            </w:r>
          </w:p>
        </w:tc>
      </w:tr>
      <w:tr w:rsidR="00212D89" w:rsidRPr="004B2B86" w:rsidTr="00571B19">
        <w:tc>
          <w:tcPr>
            <w:tcW w:w="707" w:type="dxa"/>
            <w:vMerge/>
            <w:vAlign w:val="center"/>
          </w:tcPr>
          <w:p w:rsidR="00212D89" w:rsidRPr="004B2B86" w:rsidRDefault="00212D89" w:rsidP="00571B19">
            <w:pPr>
              <w:spacing w:before="80" w:after="80" w:line="276" w:lineRule="auto"/>
              <w:jc w:val="center"/>
            </w:pPr>
          </w:p>
        </w:tc>
        <w:tc>
          <w:tcPr>
            <w:tcW w:w="6665" w:type="dxa"/>
            <w:vAlign w:val="center"/>
          </w:tcPr>
          <w:p w:rsidR="00212D89" w:rsidRPr="004B2B86" w:rsidRDefault="00212D89" w:rsidP="00571B19">
            <w:pPr>
              <w:spacing w:before="80" w:after="80" w:line="276" w:lineRule="auto"/>
            </w:pPr>
            <w:r w:rsidRPr="004B2B86">
              <w:t>Understanding nutrient dynamics in solar saltworks used for artemia production</w:t>
            </w:r>
          </w:p>
        </w:tc>
        <w:tc>
          <w:tcPr>
            <w:tcW w:w="2410" w:type="dxa"/>
            <w:vAlign w:val="center"/>
          </w:tcPr>
          <w:p w:rsidR="00212D89" w:rsidRPr="004B2B86" w:rsidRDefault="00212D89" w:rsidP="00571B19">
            <w:pPr>
              <w:spacing w:before="80" w:after="80" w:line="276" w:lineRule="auto"/>
            </w:pPr>
            <w:r>
              <w:t xml:space="preserve">GS. </w:t>
            </w:r>
            <w:r w:rsidRPr="004B2B86">
              <w:t>Roel Merckx</w:t>
            </w:r>
          </w:p>
        </w:tc>
        <w:tc>
          <w:tcPr>
            <w:tcW w:w="3828" w:type="dxa"/>
            <w:vAlign w:val="center"/>
          </w:tcPr>
          <w:p w:rsidR="00212D89" w:rsidRPr="004B2B86" w:rsidRDefault="00212D89" w:rsidP="00571B19">
            <w:pPr>
              <w:spacing w:before="80" w:after="80" w:line="276" w:lineRule="auto"/>
            </w:pPr>
            <w:r w:rsidRPr="00DC5DB5">
              <w:t>Katholieke Universiteit Leuven (K.U. Leuven)</w:t>
            </w:r>
            <w:r w:rsidRPr="004B2B86">
              <w:t>/ G</w:t>
            </w:r>
            <w:r>
              <w:t>h</w:t>
            </w:r>
            <w:r w:rsidRPr="004B2B86">
              <w:t>ent</w:t>
            </w:r>
            <w:r>
              <w:t xml:space="preserve"> University</w:t>
            </w:r>
          </w:p>
        </w:tc>
        <w:tc>
          <w:tcPr>
            <w:tcW w:w="1417" w:type="dxa"/>
            <w:vMerge/>
            <w:vAlign w:val="center"/>
          </w:tcPr>
          <w:p w:rsidR="00212D89" w:rsidRPr="004B2B86" w:rsidRDefault="00212D89" w:rsidP="00571B19">
            <w:pPr>
              <w:spacing w:before="80" w:after="80" w:line="276" w:lineRule="auto"/>
              <w:jc w:val="center"/>
            </w:pPr>
          </w:p>
        </w:tc>
      </w:tr>
      <w:tr w:rsidR="00212D89" w:rsidRPr="004B2B86" w:rsidTr="00571B19">
        <w:tc>
          <w:tcPr>
            <w:tcW w:w="707" w:type="dxa"/>
            <w:vMerge w:val="restart"/>
            <w:vAlign w:val="center"/>
          </w:tcPr>
          <w:p w:rsidR="00212D89" w:rsidRPr="004B2B86" w:rsidRDefault="00212D89" w:rsidP="00571B19">
            <w:pPr>
              <w:spacing w:before="80" w:after="80" w:line="276" w:lineRule="auto"/>
              <w:jc w:val="center"/>
            </w:pPr>
            <w:r w:rsidRPr="004B2B86">
              <w:t>6</w:t>
            </w:r>
          </w:p>
        </w:tc>
        <w:tc>
          <w:tcPr>
            <w:tcW w:w="6665" w:type="dxa"/>
            <w:vAlign w:val="center"/>
          </w:tcPr>
          <w:p w:rsidR="00212D89" w:rsidRPr="004B2B86" w:rsidRDefault="00212D89" w:rsidP="00571B19">
            <w:pPr>
              <w:spacing w:before="80" w:after="80" w:line="276" w:lineRule="auto"/>
            </w:pPr>
            <w:r w:rsidRPr="004B2B86">
              <w:t>Chế tạo, nghiên cứu và thử nghiệm ứng dụng một số vật liệu quang xúc tác có cấu trúc nano mét</w:t>
            </w:r>
          </w:p>
        </w:tc>
        <w:tc>
          <w:tcPr>
            <w:tcW w:w="2410" w:type="dxa"/>
            <w:vAlign w:val="center"/>
          </w:tcPr>
          <w:p w:rsidR="00212D89" w:rsidRPr="004B2B86" w:rsidRDefault="00212D89" w:rsidP="00571B19">
            <w:pPr>
              <w:spacing w:before="80" w:after="80" w:line="276" w:lineRule="auto"/>
            </w:pPr>
            <w:r>
              <w:t xml:space="preserve">PGS.TS. </w:t>
            </w:r>
            <w:r w:rsidRPr="004B2B86">
              <w:t>Nguyễn Văn Minh</w:t>
            </w:r>
          </w:p>
        </w:tc>
        <w:tc>
          <w:tcPr>
            <w:tcW w:w="3828" w:type="dxa"/>
            <w:vAlign w:val="center"/>
          </w:tcPr>
          <w:p w:rsidR="00212D89" w:rsidRPr="004B2B86" w:rsidRDefault="00212D89" w:rsidP="00571B19">
            <w:pPr>
              <w:spacing w:before="80" w:after="80" w:line="276" w:lineRule="auto"/>
            </w:pPr>
            <w:r w:rsidRPr="004B2B86">
              <w:t xml:space="preserve">Trường Đại học Sư phạm </w:t>
            </w:r>
            <w:r>
              <w:br/>
            </w:r>
            <w:r w:rsidRPr="004B2B86">
              <w:t>Hà Nội</w:t>
            </w:r>
          </w:p>
        </w:tc>
        <w:tc>
          <w:tcPr>
            <w:tcW w:w="1417" w:type="dxa"/>
            <w:vMerge w:val="restart"/>
            <w:vAlign w:val="center"/>
          </w:tcPr>
          <w:p w:rsidR="00212D89" w:rsidRPr="004B2B86" w:rsidRDefault="00212D89" w:rsidP="00571B19">
            <w:pPr>
              <w:spacing w:before="80" w:after="80" w:line="276" w:lineRule="auto"/>
              <w:jc w:val="center"/>
            </w:pPr>
            <w:r w:rsidRPr="004B2B86">
              <w:t>24 tháng</w:t>
            </w:r>
          </w:p>
        </w:tc>
      </w:tr>
      <w:tr w:rsidR="00212D89" w:rsidRPr="004B2B86" w:rsidTr="00571B19">
        <w:tc>
          <w:tcPr>
            <w:tcW w:w="707" w:type="dxa"/>
            <w:vMerge/>
            <w:vAlign w:val="center"/>
          </w:tcPr>
          <w:p w:rsidR="00212D89" w:rsidRPr="004B2B86" w:rsidRDefault="00212D89" w:rsidP="00571B19">
            <w:pPr>
              <w:spacing w:before="80" w:after="80" w:line="276" w:lineRule="auto"/>
              <w:jc w:val="center"/>
            </w:pPr>
          </w:p>
        </w:tc>
        <w:tc>
          <w:tcPr>
            <w:tcW w:w="6665" w:type="dxa"/>
            <w:vAlign w:val="center"/>
          </w:tcPr>
          <w:p w:rsidR="00212D89" w:rsidRPr="004B2B86" w:rsidRDefault="00212D89" w:rsidP="00571B19">
            <w:pPr>
              <w:spacing w:before="80" w:after="80" w:line="276" w:lineRule="auto"/>
            </w:pPr>
            <w:r w:rsidRPr="004B2B86">
              <w:t>Nano Photocatalysis materials: Preparartion, characterization and application</w:t>
            </w:r>
          </w:p>
        </w:tc>
        <w:tc>
          <w:tcPr>
            <w:tcW w:w="2410" w:type="dxa"/>
            <w:vAlign w:val="center"/>
          </w:tcPr>
          <w:p w:rsidR="00212D89" w:rsidRPr="004B2B86" w:rsidRDefault="00212D89" w:rsidP="00571B19">
            <w:pPr>
              <w:spacing w:before="80" w:after="80" w:line="276" w:lineRule="auto"/>
            </w:pPr>
            <w:r w:rsidRPr="004B2B86">
              <w:rPr>
                <w:lang w:val="nl-BE"/>
              </w:rPr>
              <w:t>Johan Hofkens</w:t>
            </w:r>
          </w:p>
        </w:tc>
        <w:tc>
          <w:tcPr>
            <w:tcW w:w="3828" w:type="dxa"/>
            <w:vAlign w:val="center"/>
          </w:tcPr>
          <w:p w:rsidR="00212D89" w:rsidRPr="004B2B86" w:rsidRDefault="00212D89" w:rsidP="00571B19">
            <w:pPr>
              <w:spacing w:before="80" w:after="80" w:line="276" w:lineRule="auto"/>
            </w:pPr>
            <w:r w:rsidRPr="00DC5DB5">
              <w:rPr>
                <w:lang w:val="nl-BE"/>
              </w:rPr>
              <w:t>Katholieke Universiteit Leuven (K.U. Leuven)</w:t>
            </w:r>
          </w:p>
        </w:tc>
        <w:tc>
          <w:tcPr>
            <w:tcW w:w="1417" w:type="dxa"/>
            <w:vMerge/>
            <w:vAlign w:val="center"/>
          </w:tcPr>
          <w:p w:rsidR="00212D89" w:rsidRPr="004B2B86" w:rsidRDefault="00212D89" w:rsidP="00571B19">
            <w:pPr>
              <w:spacing w:before="80" w:after="80" w:line="276" w:lineRule="auto"/>
              <w:jc w:val="center"/>
            </w:pPr>
          </w:p>
        </w:tc>
      </w:tr>
      <w:tr w:rsidR="00212D89" w:rsidRPr="004B2B86" w:rsidTr="00571B19">
        <w:trPr>
          <w:trHeight w:val="1151"/>
        </w:trPr>
        <w:tc>
          <w:tcPr>
            <w:tcW w:w="707" w:type="dxa"/>
            <w:vMerge w:val="restart"/>
            <w:vAlign w:val="center"/>
          </w:tcPr>
          <w:p w:rsidR="00212D89" w:rsidRPr="004B2B86" w:rsidRDefault="00212D89" w:rsidP="00571B19">
            <w:pPr>
              <w:spacing w:before="80" w:after="80" w:line="276" w:lineRule="auto"/>
              <w:jc w:val="center"/>
            </w:pPr>
            <w:r>
              <w:br w:type="page"/>
            </w:r>
            <w:r w:rsidRPr="004B2B86">
              <w:t>7</w:t>
            </w:r>
          </w:p>
        </w:tc>
        <w:tc>
          <w:tcPr>
            <w:tcW w:w="6665" w:type="dxa"/>
            <w:vAlign w:val="center"/>
          </w:tcPr>
          <w:p w:rsidR="00212D89" w:rsidRPr="004B2B86" w:rsidRDefault="00212D89" w:rsidP="00212D89">
            <w:pPr>
              <w:spacing w:before="80" w:after="80" w:line="276" w:lineRule="auto"/>
              <w:jc w:val="both"/>
            </w:pPr>
            <w:r w:rsidRPr="00212D89">
              <w:t>Nghiên cứu xây dựng bộ công cụ đánh giá ảnh hưởng của biến đổi khí hậu và nước biển dâng đến tài nguyên nước dưới đất và khả năng đáp ứng nhu cầu sử dụng nước cho người dân ở các vùng ven biển Việt Nam</w:t>
            </w:r>
          </w:p>
        </w:tc>
        <w:tc>
          <w:tcPr>
            <w:tcW w:w="2410" w:type="dxa"/>
            <w:vAlign w:val="center"/>
          </w:tcPr>
          <w:p w:rsidR="00212D89" w:rsidRPr="004B2B86" w:rsidRDefault="00212D89" w:rsidP="00571B19">
            <w:pPr>
              <w:spacing w:before="80" w:after="80" w:line="276" w:lineRule="auto"/>
            </w:pPr>
            <w:r>
              <w:t xml:space="preserve">TS. </w:t>
            </w:r>
            <w:r w:rsidRPr="004B2B86">
              <w:t>Vũ Thanh Tâm</w:t>
            </w:r>
          </w:p>
        </w:tc>
        <w:tc>
          <w:tcPr>
            <w:tcW w:w="3828" w:type="dxa"/>
            <w:vAlign w:val="center"/>
          </w:tcPr>
          <w:p w:rsidR="00212D89" w:rsidRPr="004B2B86" w:rsidRDefault="00212D89" w:rsidP="00571B19">
            <w:pPr>
              <w:spacing w:before="80" w:after="80" w:line="276" w:lineRule="auto"/>
            </w:pPr>
            <w:r w:rsidRPr="004B2B86">
              <w:t xml:space="preserve">Trung tâm Quy hoạch và Điều tra tài nguyên nước (CWRPI), Bộ Tài nguyên và Môi trường </w:t>
            </w:r>
          </w:p>
        </w:tc>
        <w:tc>
          <w:tcPr>
            <w:tcW w:w="1417" w:type="dxa"/>
            <w:vMerge w:val="restart"/>
            <w:vAlign w:val="center"/>
          </w:tcPr>
          <w:p w:rsidR="00212D89" w:rsidRPr="004B2B86" w:rsidRDefault="00212D89" w:rsidP="00571B19">
            <w:pPr>
              <w:spacing w:before="80" w:after="80" w:line="276" w:lineRule="auto"/>
              <w:jc w:val="center"/>
            </w:pPr>
            <w:r w:rsidRPr="004B2B86">
              <w:t>24 tháng</w:t>
            </w:r>
          </w:p>
        </w:tc>
      </w:tr>
      <w:tr w:rsidR="00212D89" w:rsidRPr="004B2B86" w:rsidTr="00571B19">
        <w:tc>
          <w:tcPr>
            <w:tcW w:w="707" w:type="dxa"/>
            <w:vMerge/>
            <w:vAlign w:val="center"/>
          </w:tcPr>
          <w:p w:rsidR="00212D89" w:rsidRPr="004B2B86" w:rsidRDefault="00212D89" w:rsidP="00571B19">
            <w:pPr>
              <w:spacing w:before="80" w:after="80" w:line="276" w:lineRule="auto"/>
              <w:jc w:val="center"/>
            </w:pPr>
          </w:p>
        </w:tc>
        <w:tc>
          <w:tcPr>
            <w:tcW w:w="6665" w:type="dxa"/>
            <w:vAlign w:val="center"/>
          </w:tcPr>
          <w:p w:rsidR="00212D89" w:rsidRPr="004B2B86" w:rsidRDefault="00212D89" w:rsidP="00212D89">
            <w:pPr>
              <w:spacing w:before="80" w:after="80" w:line="276" w:lineRule="auto"/>
              <w:jc w:val="both"/>
            </w:pPr>
            <w:r w:rsidRPr="00212D89">
              <w:t>Study to build a toolset for assessment of impact of global climate change and seawater level rise on groundwater resources and ability to meet water use demand of local residents in coastal areas of Vietnam</w:t>
            </w:r>
          </w:p>
        </w:tc>
        <w:tc>
          <w:tcPr>
            <w:tcW w:w="2410" w:type="dxa"/>
            <w:vAlign w:val="center"/>
          </w:tcPr>
          <w:p w:rsidR="00212D89" w:rsidRPr="004B2B86" w:rsidRDefault="00212D89" w:rsidP="00571B19">
            <w:pPr>
              <w:spacing w:before="80" w:after="80" w:line="276" w:lineRule="auto"/>
            </w:pPr>
            <w:r>
              <w:t xml:space="preserve">GS.TS. </w:t>
            </w:r>
            <w:r w:rsidRPr="004B2B86">
              <w:t>Okke Batelaan</w:t>
            </w:r>
          </w:p>
        </w:tc>
        <w:tc>
          <w:tcPr>
            <w:tcW w:w="3828" w:type="dxa"/>
            <w:vAlign w:val="center"/>
          </w:tcPr>
          <w:p w:rsidR="00212D89" w:rsidRPr="004B2B86" w:rsidRDefault="00212D89" w:rsidP="00571B19">
            <w:pPr>
              <w:spacing w:before="80" w:after="80" w:line="276" w:lineRule="auto"/>
            </w:pPr>
            <w:r w:rsidRPr="00DC5DB5">
              <w:t>Vrije Universiteit Brussel</w:t>
            </w:r>
          </w:p>
        </w:tc>
        <w:tc>
          <w:tcPr>
            <w:tcW w:w="1417" w:type="dxa"/>
            <w:vMerge/>
            <w:vAlign w:val="center"/>
          </w:tcPr>
          <w:p w:rsidR="00212D89" w:rsidRPr="004B2B86" w:rsidRDefault="00212D89" w:rsidP="00571B19">
            <w:pPr>
              <w:spacing w:before="80" w:after="80" w:line="276" w:lineRule="auto"/>
              <w:jc w:val="center"/>
            </w:pPr>
          </w:p>
        </w:tc>
      </w:tr>
    </w:tbl>
    <w:p w:rsidR="00212D89" w:rsidRDefault="00212D89" w:rsidP="00212D89">
      <w:r>
        <w:br w:type="page"/>
      </w:r>
    </w:p>
    <w:tbl>
      <w:tblPr>
        <w:tblStyle w:val="TableGrid"/>
        <w:tblW w:w="15027" w:type="dxa"/>
        <w:tblInd w:w="-318" w:type="dxa"/>
        <w:tblLook w:val="04A0" w:firstRow="1" w:lastRow="0" w:firstColumn="1" w:lastColumn="0" w:noHBand="0" w:noVBand="1"/>
      </w:tblPr>
      <w:tblGrid>
        <w:gridCol w:w="707"/>
        <w:gridCol w:w="6665"/>
        <w:gridCol w:w="2410"/>
        <w:gridCol w:w="3827"/>
        <w:gridCol w:w="1418"/>
      </w:tblGrid>
      <w:tr w:rsidR="00212D89" w:rsidRPr="004B2B86" w:rsidTr="00571B19">
        <w:trPr>
          <w:trHeight w:val="892"/>
        </w:trPr>
        <w:tc>
          <w:tcPr>
            <w:tcW w:w="707" w:type="dxa"/>
            <w:vMerge w:val="restart"/>
            <w:vAlign w:val="center"/>
          </w:tcPr>
          <w:p w:rsidR="00212D89" w:rsidRPr="004B2B86" w:rsidRDefault="00212D89" w:rsidP="00571B19">
            <w:pPr>
              <w:spacing w:before="80" w:after="80" w:line="276" w:lineRule="auto"/>
              <w:jc w:val="center"/>
            </w:pPr>
            <w:r w:rsidRPr="004B2B86">
              <w:lastRenderedPageBreak/>
              <w:t>8</w:t>
            </w:r>
          </w:p>
        </w:tc>
        <w:tc>
          <w:tcPr>
            <w:tcW w:w="6665" w:type="dxa"/>
            <w:vAlign w:val="center"/>
          </w:tcPr>
          <w:p w:rsidR="00212D89" w:rsidRPr="004B2B86" w:rsidRDefault="00212D89" w:rsidP="00571B19">
            <w:pPr>
              <w:spacing w:before="80" w:after="80" w:line="276" w:lineRule="auto"/>
            </w:pPr>
            <w:r w:rsidRPr="004B2B86">
              <w:t>Kiểm soát hoạt động của vi sinh vật gây hư hỏng theo mô hình khép kín: từ khi đánh bắt đến khi sản phẩm cá Tra đến tay người tiêu dùng</w:t>
            </w:r>
          </w:p>
        </w:tc>
        <w:tc>
          <w:tcPr>
            <w:tcW w:w="2410" w:type="dxa"/>
            <w:vAlign w:val="center"/>
          </w:tcPr>
          <w:p w:rsidR="00212D89" w:rsidRPr="004B2B86" w:rsidRDefault="00212D89" w:rsidP="00571B19">
            <w:pPr>
              <w:spacing w:before="80" w:after="80" w:line="276" w:lineRule="auto"/>
            </w:pPr>
            <w:r>
              <w:t xml:space="preserve">TS. </w:t>
            </w:r>
            <w:r w:rsidRPr="004B2B86">
              <w:t>Lý Nguyễn Bình</w:t>
            </w:r>
          </w:p>
        </w:tc>
        <w:tc>
          <w:tcPr>
            <w:tcW w:w="3827" w:type="dxa"/>
            <w:vAlign w:val="center"/>
          </w:tcPr>
          <w:p w:rsidR="00212D89" w:rsidRPr="004B2B86" w:rsidRDefault="00212D89" w:rsidP="00571B19">
            <w:pPr>
              <w:spacing w:before="80" w:after="80" w:line="276" w:lineRule="auto"/>
            </w:pPr>
            <w:r w:rsidRPr="004B2B86">
              <w:t>Trường Đại học Cần Thơ</w:t>
            </w:r>
          </w:p>
        </w:tc>
        <w:tc>
          <w:tcPr>
            <w:tcW w:w="1418" w:type="dxa"/>
            <w:vMerge w:val="restart"/>
            <w:vAlign w:val="center"/>
          </w:tcPr>
          <w:p w:rsidR="00212D89" w:rsidRPr="004B2B86" w:rsidRDefault="00212D89" w:rsidP="00571B19">
            <w:pPr>
              <w:spacing w:before="80" w:after="80" w:line="276" w:lineRule="auto"/>
              <w:jc w:val="center"/>
            </w:pPr>
            <w:r w:rsidRPr="004B2B86">
              <w:t>24 tháng</w:t>
            </w:r>
          </w:p>
        </w:tc>
      </w:tr>
      <w:tr w:rsidR="00212D89" w:rsidRPr="004B2B86" w:rsidTr="00571B19">
        <w:trPr>
          <w:trHeight w:val="693"/>
        </w:trPr>
        <w:tc>
          <w:tcPr>
            <w:tcW w:w="707" w:type="dxa"/>
            <w:vMerge/>
            <w:vAlign w:val="center"/>
          </w:tcPr>
          <w:p w:rsidR="00212D89" w:rsidRPr="004B2B86" w:rsidRDefault="00212D89" w:rsidP="00571B19">
            <w:pPr>
              <w:spacing w:before="80" w:after="80" w:line="276" w:lineRule="auto"/>
              <w:jc w:val="center"/>
            </w:pPr>
          </w:p>
        </w:tc>
        <w:tc>
          <w:tcPr>
            <w:tcW w:w="6665" w:type="dxa"/>
            <w:vAlign w:val="center"/>
          </w:tcPr>
          <w:p w:rsidR="00212D89" w:rsidRPr="004B2B86" w:rsidRDefault="00212D89" w:rsidP="00571B19">
            <w:pPr>
              <w:spacing w:before="80" w:after="80" w:line="276" w:lineRule="auto"/>
            </w:pPr>
            <w:r w:rsidRPr="004B2B86">
              <w:t>Monitoring taxonomic evolutions of microbiota and their spoilage potential on Pangasius hypophthalmus from catch till consumer</w:t>
            </w:r>
          </w:p>
        </w:tc>
        <w:tc>
          <w:tcPr>
            <w:tcW w:w="2410" w:type="dxa"/>
            <w:vAlign w:val="center"/>
          </w:tcPr>
          <w:p w:rsidR="00212D89" w:rsidRPr="004B2B86" w:rsidRDefault="00212D89" w:rsidP="00571B19">
            <w:pPr>
              <w:spacing w:before="80" w:after="80" w:line="276" w:lineRule="auto"/>
            </w:pPr>
            <w:r>
              <w:t xml:space="preserve">GS. </w:t>
            </w:r>
            <w:r w:rsidRPr="004B2B86">
              <w:t>Frank Devlieghere</w:t>
            </w:r>
          </w:p>
        </w:tc>
        <w:tc>
          <w:tcPr>
            <w:tcW w:w="3827" w:type="dxa"/>
            <w:vAlign w:val="center"/>
          </w:tcPr>
          <w:p w:rsidR="00212D89" w:rsidRPr="004B2B86" w:rsidRDefault="00212D89" w:rsidP="00571B19">
            <w:pPr>
              <w:spacing w:before="80" w:after="80" w:line="276" w:lineRule="auto"/>
            </w:pPr>
            <w:r w:rsidRPr="004B2B86">
              <w:t>G</w:t>
            </w:r>
            <w:r>
              <w:t>h</w:t>
            </w:r>
            <w:r w:rsidRPr="004B2B86">
              <w:t>ent</w:t>
            </w:r>
            <w:r>
              <w:t xml:space="preserve"> University</w:t>
            </w:r>
          </w:p>
        </w:tc>
        <w:tc>
          <w:tcPr>
            <w:tcW w:w="1418" w:type="dxa"/>
            <w:vMerge/>
            <w:vAlign w:val="center"/>
          </w:tcPr>
          <w:p w:rsidR="00212D89" w:rsidRPr="004B2B86" w:rsidRDefault="00212D89" w:rsidP="00571B19">
            <w:pPr>
              <w:spacing w:before="80" w:after="80" w:line="276" w:lineRule="auto"/>
              <w:jc w:val="center"/>
            </w:pPr>
          </w:p>
        </w:tc>
      </w:tr>
    </w:tbl>
    <w:p w:rsidR="00212D89" w:rsidRPr="00AD1E04" w:rsidRDefault="00212D89" w:rsidP="00212D89">
      <w:pPr>
        <w:spacing w:before="120"/>
        <w:jc w:val="center"/>
        <w:rPr>
          <w:b/>
        </w:rPr>
      </w:pPr>
      <w:r w:rsidRPr="00AD1E04">
        <w:rPr>
          <w:b/>
        </w:rPr>
        <w:t>(Tổng số: 8 đề tài)</w:t>
      </w:r>
    </w:p>
    <w:p w:rsidR="00127866" w:rsidRDefault="00127866"/>
    <w:sectPr w:rsidR="00127866" w:rsidSect="00212D89">
      <w:pgSz w:w="16840" w:h="11907" w:orient="landscape" w:code="9"/>
      <w:pgMar w:top="1701"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64"/>
    <w:rsid w:val="00127866"/>
    <w:rsid w:val="00160AE3"/>
    <w:rsid w:val="00212D89"/>
    <w:rsid w:val="0026017F"/>
    <w:rsid w:val="003D4864"/>
    <w:rsid w:val="00AC5EB0"/>
    <w:rsid w:val="00C946A0"/>
    <w:rsid w:val="00EB239B"/>
    <w:rsid w:val="00F8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Tuan Kiet Co.,Ltd</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KT</dc:creator>
  <cp:keywords/>
  <dc:description/>
  <cp:lastModifiedBy>Phong KT</cp:lastModifiedBy>
  <cp:revision>2</cp:revision>
  <dcterms:created xsi:type="dcterms:W3CDTF">2012-03-02T08:41:00Z</dcterms:created>
  <dcterms:modified xsi:type="dcterms:W3CDTF">2012-03-02T08:41:00Z</dcterms:modified>
</cp:coreProperties>
</file>